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4918"/>
      </w:tblGrid>
      <w:tr w:rsidR="0044542A" w:rsidRPr="0044542A" w:rsidTr="00EE1790">
        <w:tc>
          <w:tcPr>
            <w:tcW w:w="3812" w:type="dxa"/>
            <w:hideMark/>
          </w:tcPr>
          <w:p w:rsidR="0044542A" w:rsidRPr="0044542A" w:rsidRDefault="0044542A" w:rsidP="0044542A">
            <w:pPr>
              <w:pStyle w:val="Vnbnnidung0"/>
              <w:spacing w:after="0"/>
              <w:ind w:firstLine="800"/>
              <w:jc w:val="both"/>
              <w:rPr>
                <w:rFonts w:ascii="Arial" w:hAnsi="Arial" w:cs="Arial"/>
                <w:sz w:val="20"/>
                <w:szCs w:val="20"/>
              </w:rPr>
            </w:pPr>
            <w:bookmarkStart w:id="0" w:name="_GoBack" w:colFirst="1" w:colLast="2"/>
            <w:r w:rsidRPr="0044542A">
              <w:rPr>
                <w:rFonts w:ascii="Arial" w:hAnsi="Arial" w:cs="Arial"/>
                <w:sz w:val="20"/>
                <w:szCs w:val="20"/>
              </w:rPr>
              <w:t>TỔNG CỤC THUẾ</w:t>
            </w:r>
          </w:p>
          <w:p w:rsidR="0044542A" w:rsidRPr="0044542A" w:rsidRDefault="0044542A" w:rsidP="0044542A">
            <w:pPr>
              <w:pStyle w:val="Vnbnnidung0"/>
              <w:ind w:firstLine="0"/>
              <w:jc w:val="both"/>
              <w:rPr>
                <w:rFonts w:ascii="Arial" w:hAnsi="Arial" w:cs="Arial"/>
                <w:sz w:val="20"/>
                <w:szCs w:val="20"/>
              </w:rPr>
            </w:pPr>
            <w:r w:rsidRPr="0044542A">
              <w:rPr>
                <w:rFonts w:ascii="Arial" w:hAnsi="Arial" w:cs="Arial"/>
                <w:b/>
                <w:bCs/>
                <w:sz w:val="20"/>
                <w:szCs w:val="20"/>
              </w:rPr>
              <w:t>CỤC THUẾ TỈNH HẬU GIANG</w:t>
            </w:r>
          </w:p>
          <w:p w:rsidR="0044542A" w:rsidRPr="0044542A" w:rsidRDefault="0044542A" w:rsidP="0044542A">
            <w:pPr>
              <w:pStyle w:val="Vnbnnidung0"/>
              <w:spacing w:after="0"/>
              <w:ind w:firstLine="500"/>
              <w:jc w:val="both"/>
              <w:rPr>
                <w:rFonts w:ascii="Arial" w:hAnsi="Arial" w:cs="Arial"/>
                <w:sz w:val="20"/>
                <w:szCs w:val="20"/>
              </w:rPr>
            </w:pPr>
            <w:r w:rsidRPr="0044542A">
              <w:rPr>
                <w:rFonts w:ascii="Arial" w:hAnsi="Arial" w:cs="Arial"/>
                <w:sz w:val="20"/>
                <w:szCs w:val="20"/>
              </w:rPr>
              <w:t>Số: 18 /CTHAG-TTHT</w:t>
            </w:r>
          </w:p>
          <w:p w:rsidR="0044542A" w:rsidRPr="00B84603" w:rsidRDefault="0044542A" w:rsidP="0044542A">
            <w:pPr>
              <w:pStyle w:val="Vnbnnidung0"/>
              <w:spacing w:after="600"/>
              <w:ind w:firstLine="640"/>
              <w:jc w:val="both"/>
              <w:rPr>
                <w:rFonts w:ascii="Arial" w:hAnsi="Arial" w:cs="Arial"/>
                <w:sz w:val="20"/>
                <w:szCs w:val="20"/>
              </w:rPr>
            </w:pPr>
            <w:r w:rsidRPr="0044542A">
              <w:rPr>
                <w:rFonts w:ascii="Arial" w:hAnsi="Arial" w:cs="Arial"/>
                <w:sz w:val="20"/>
                <w:szCs w:val="20"/>
              </w:rPr>
              <w:t>V/v ưu đãi thuế TNDN</w:t>
            </w:r>
          </w:p>
        </w:tc>
        <w:tc>
          <w:tcPr>
            <w:tcW w:w="4918" w:type="dxa"/>
            <w:hideMark/>
          </w:tcPr>
          <w:p w:rsidR="0044542A" w:rsidRPr="0044542A" w:rsidRDefault="0044542A" w:rsidP="00EE1790">
            <w:pPr>
              <w:pStyle w:val="Vnbnnidung0"/>
              <w:ind w:right="440" w:firstLine="0"/>
              <w:jc w:val="center"/>
              <w:rPr>
                <w:rFonts w:ascii="Arial" w:hAnsi="Arial" w:cs="Arial"/>
                <w:b/>
                <w:bCs/>
                <w:i/>
                <w:sz w:val="20"/>
                <w:szCs w:val="20"/>
              </w:rPr>
            </w:pPr>
            <w:r w:rsidRPr="0044542A">
              <w:rPr>
                <w:rFonts w:ascii="Arial" w:hAnsi="Arial" w:cs="Arial"/>
                <w:b/>
                <w:bCs/>
                <w:sz w:val="20"/>
                <w:szCs w:val="20"/>
              </w:rPr>
              <w:t>CỘNG HOÀ XÃ HỘI CHỦ NGHĨA VIỆT NAM</w:t>
            </w:r>
          </w:p>
          <w:p w:rsidR="0044542A" w:rsidRPr="0044542A" w:rsidRDefault="0044542A" w:rsidP="00EE1790">
            <w:pPr>
              <w:pStyle w:val="Vnbnnidung0"/>
              <w:ind w:right="440" w:firstLine="0"/>
              <w:jc w:val="center"/>
              <w:rPr>
                <w:rFonts w:ascii="Arial" w:hAnsi="Arial" w:cs="Arial"/>
                <w:b/>
                <w:bCs/>
                <w:i/>
                <w:sz w:val="20"/>
                <w:szCs w:val="20"/>
              </w:rPr>
            </w:pPr>
            <w:r w:rsidRPr="0044542A">
              <w:rPr>
                <w:rFonts w:ascii="Arial" w:hAnsi="Arial" w:cs="Arial"/>
                <w:b/>
                <w:bCs/>
                <w:sz w:val="20"/>
                <w:szCs w:val="20"/>
              </w:rPr>
              <w:t>Độc lập - Tự do - Hạnh phúc</w:t>
            </w:r>
          </w:p>
          <w:p w:rsidR="0044542A" w:rsidRPr="0044542A" w:rsidRDefault="0044542A" w:rsidP="0044542A">
            <w:pPr>
              <w:pStyle w:val="Vnbnnidung20"/>
              <w:jc w:val="right"/>
              <w:rPr>
                <w:rFonts w:ascii="Arial" w:hAnsi="Arial" w:cs="Arial"/>
                <w:i/>
                <w:sz w:val="20"/>
                <w:szCs w:val="20"/>
              </w:rPr>
            </w:pPr>
            <w:r w:rsidRPr="0044542A">
              <w:rPr>
                <w:rFonts w:ascii="Arial" w:hAnsi="Arial" w:cs="Arial"/>
                <w:i/>
                <w:sz w:val="20"/>
                <w:szCs w:val="20"/>
                <w:lang w:val="en-US"/>
              </w:rPr>
              <w:t>Hậu Giang</w:t>
            </w:r>
            <w:r w:rsidRPr="0044542A">
              <w:rPr>
                <w:rFonts w:ascii="Arial" w:hAnsi="Arial" w:cs="Arial"/>
                <w:i/>
                <w:sz w:val="20"/>
                <w:szCs w:val="20"/>
              </w:rPr>
              <w:t xml:space="preserve">, ngày </w:t>
            </w:r>
            <w:r w:rsidRPr="0044542A">
              <w:rPr>
                <w:rFonts w:ascii="Arial" w:hAnsi="Arial" w:cs="Arial"/>
                <w:i/>
                <w:sz w:val="20"/>
                <w:szCs w:val="20"/>
                <w:lang w:val="en-US"/>
              </w:rPr>
              <w:t>06</w:t>
            </w:r>
            <w:r w:rsidRPr="0044542A">
              <w:rPr>
                <w:rFonts w:ascii="Arial" w:hAnsi="Arial" w:cs="Arial"/>
                <w:i/>
                <w:sz w:val="20"/>
                <w:szCs w:val="20"/>
                <w:lang w:val="en-US"/>
              </w:rPr>
              <w:t xml:space="preserve"> </w:t>
            </w:r>
            <w:r w:rsidRPr="0044542A">
              <w:rPr>
                <w:rFonts w:ascii="Arial" w:hAnsi="Arial" w:cs="Arial"/>
                <w:i/>
                <w:sz w:val="20"/>
                <w:szCs w:val="20"/>
              </w:rPr>
              <w:t xml:space="preserve">tháng </w:t>
            </w:r>
            <w:r w:rsidRPr="0044542A">
              <w:rPr>
                <w:rFonts w:ascii="Arial" w:hAnsi="Arial" w:cs="Arial"/>
                <w:i/>
                <w:sz w:val="20"/>
                <w:szCs w:val="20"/>
                <w:lang w:val="en-US"/>
              </w:rPr>
              <w:t>0</w:t>
            </w:r>
            <w:r w:rsidRPr="0044542A">
              <w:rPr>
                <w:rFonts w:ascii="Arial" w:hAnsi="Arial" w:cs="Arial"/>
                <w:i/>
                <w:sz w:val="20"/>
                <w:szCs w:val="20"/>
              </w:rPr>
              <w:t>1 năm 2025</w:t>
            </w:r>
          </w:p>
        </w:tc>
      </w:tr>
      <w:bookmarkEnd w:id="0"/>
    </w:tbl>
    <w:p w:rsidR="0044542A" w:rsidRPr="00B717B2" w:rsidRDefault="0044542A" w:rsidP="0044542A">
      <w:pPr>
        <w:pStyle w:val="Vnbnnidung0"/>
        <w:ind w:firstLine="720"/>
        <w:jc w:val="both"/>
        <w:rPr>
          <w:rFonts w:ascii="Arial" w:hAnsi="Arial" w:cs="Arial"/>
          <w:i/>
          <w:iCs/>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44542A" w:rsidRPr="00B717B2" w:rsidTr="00EE1790">
        <w:trPr>
          <w:trHeight w:val="698"/>
        </w:trPr>
        <w:tc>
          <w:tcPr>
            <w:tcW w:w="3691" w:type="dxa"/>
            <w:hideMark/>
          </w:tcPr>
          <w:p w:rsidR="0044542A" w:rsidRPr="00B717B2" w:rsidRDefault="0044542A" w:rsidP="00EE1790">
            <w:pPr>
              <w:pStyle w:val="Vnbnnidung0"/>
              <w:ind w:right="440" w:firstLine="0"/>
              <w:jc w:val="right"/>
              <w:rPr>
                <w:rFonts w:ascii="Arial" w:hAnsi="Arial" w:cs="Arial"/>
                <w:i/>
                <w:sz w:val="20"/>
                <w:szCs w:val="20"/>
              </w:rPr>
            </w:pPr>
            <w:r w:rsidRPr="00B717B2">
              <w:rPr>
                <w:rFonts w:ascii="Arial" w:hAnsi="Arial" w:cs="Arial"/>
                <w:sz w:val="20"/>
                <w:szCs w:val="20"/>
              </w:rPr>
              <w:t>Kính gửi:</w:t>
            </w:r>
          </w:p>
        </w:tc>
        <w:tc>
          <w:tcPr>
            <w:tcW w:w="5715" w:type="dxa"/>
            <w:hideMark/>
          </w:tcPr>
          <w:p w:rsidR="0044542A" w:rsidRDefault="0044542A" w:rsidP="0044542A">
            <w:pPr>
              <w:pStyle w:val="Vnbnnidung0"/>
              <w:spacing w:after="0"/>
              <w:ind w:firstLine="0"/>
              <w:rPr>
                <w:rFonts w:ascii="Arial" w:hAnsi="Arial" w:cs="Arial"/>
                <w:sz w:val="20"/>
                <w:szCs w:val="20"/>
              </w:rPr>
            </w:pPr>
            <w:r w:rsidRPr="0044542A">
              <w:rPr>
                <w:rFonts w:ascii="Arial" w:hAnsi="Arial" w:cs="Arial"/>
                <w:sz w:val="20"/>
                <w:szCs w:val="20"/>
              </w:rPr>
              <w:t>Công ty Cổ phần Việt Nam Kỹ nghệ Bột mì</w:t>
            </w:r>
          </w:p>
          <w:p w:rsidR="0044542A" w:rsidRPr="0044542A" w:rsidRDefault="0044542A" w:rsidP="0044542A">
            <w:pPr>
              <w:pStyle w:val="Vnbnnidung0"/>
              <w:spacing w:after="0"/>
              <w:ind w:firstLine="0"/>
              <w:rPr>
                <w:rFonts w:ascii="Arial" w:hAnsi="Arial" w:cs="Arial"/>
                <w:sz w:val="20"/>
                <w:szCs w:val="20"/>
              </w:rPr>
            </w:pPr>
            <w:r w:rsidRPr="0044542A">
              <w:rPr>
                <w:rFonts w:ascii="Arial" w:hAnsi="Arial" w:cs="Arial"/>
                <w:sz w:val="20"/>
                <w:szCs w:val="20"/>
              </w:rPr>
              <w:t>Mã số thuế: 0302556989</w:t>
            </w:r>
          </w:p>
          <w:p w:rsidR="0044542A" w:rsidRPr="00081E8B" w:rsidRDefault="0044542A" w:rsidP="0044542A">
            <w:pPr>
              <w:pStyle w:val="Vnbnnidung0"/>
              <w:ind w:firstLine="0"/>
              <w:jc w:val="both"/>
              <w:rPr>
                <w:rFonts w:ascii="Arial" w:hAnsi="Arial" w:cs="Arial"/>
                <w:i/>
                <w:sz w:val="20"/>
                <w:szCs w:val="20"/>
              </w:rPr>
            </w:pPr>
            <w:r w:rsidRPr="0044542A">
              <w:rPr>
                <w:rFonts w:ascii="Arial" w:hAnsi="Arial" w:cs="Arial"/>
                <w:sz w:val="20"/>
                <w:szCs w:val="20"/>
              </w:rPr>
              <w:t>Địa chỉ: Lô 32C/I, đường số 2G, Khu công nghiệp Vĩnh Lộc, xã Vĩnh Lộc A, huyện Bình Chánh, TP Hồ Chí Minh</w:t>
            </w:r>
          </w:p>
        </w:tc>
      </w:tr>
    </w:tbl>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Trả lời Công văn số 36/KT-VIKY/2024 ngày 26/12/2024 của Công ty Cổ phần Việt Nam Kỹ nghệ Bột mì (gọi tắt là Công ty) về việc hướng dẫn thủ tục để doan</w:t>
      </w:r>
      <w:r w:rsidRPr="0044542A">
        <w:rPr>
          <w:rFonts w:ascii="Arial" w:hAnsi="Arial" w:cs="Arial"/>
          <w:sz w:val="20"/>
          <w:szCs w:val="20"/>
        </w:rPr>
        <w:t>h nghiệp được hưởng chính sách ưu đãi đầu tư mới. Cục Thuế tỉnh Hậu Giang có ý kiến như sau:</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Căn cứ khoản 3, khoản 4 Điều 10 Thông tư số 96/2015/TT-BTC ngày 22/6/2015 của Bộ Tài chính hướng dẫn về thuế thu nhập doanh nghiệp:</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w:t>
      </w:r>
      <w:r w:rsidRPr="0044542A">
        <w:rPr>
          <w:rFonts w:ascii="Arial" w:hAnsi="Arial" w:cs="Arial"/>
          <w:b/>
          <w:bCs/>
          <w:sz w:val="20"/>
          <w:szCs w:val="20"/>
        </w:rPr>
        <w:t xml:space="preserve">Điều 10. Sửa đổi, bổ sung một </w:t>
      </w:r>
      <w:r w:rsidRPr="0044542A">
        <w:rPr>
          <w:rFonts w:ascii="Arial" w:hAnsi="Arial" w:cs="Arial"/>
          <w:b/>
          <w:bCs/>
          <w:sz w:val="20"/>
          <w:szCs w:val="20"/>
        </w:rPr>
        <w:t>số nội dung tại Điều 18 Thông tư số 78/2014/TT-BTC ... như sau:</w:t>
      </w:r>
    </w:p>
    <w:p w:rsidR="00D418D7" w:rsidRPr="0044542A" w:rsidRDefault="0044542A" w:rsidP="0044542A">
      <w:pPr>
        <w:pStyle w:val="Vnbnnidung0"/>
        <w:tabs>
          <w:tab w:val="left" w:pos="1102"/>
        </w:tabs>
        <w:spacing w:after="120"/>
        <w:ind w:firstLine="284"/>
        <w:rPr>
          <w:rFonts w:ascii="Arial" w:hAnsi="Arial" w:cs="Arial"/>
          <w:sz w:val="20"/>
          <w:szCs w:val="20"/>
        </w:rPr>
      </w:pPr>
      <w:bookmarkStart w:id="1" w:name="bookmark0"/>
      <w:bookmarkEnd w:id="1"/>
      <w:r>
        <w:rPr>
          <w:rFonts w:ascii="Arial" w:hAnsi="Arial" w:cs="Arial"/>
          <w:sz w:val="20"/>
          <w:szCs w:val="20"/>
          <w:lang w:val="en-US"/>
        </w:rPr>
        <w:t xml:space="preserve">3. </w:t>
      </w:r>
      <w:r w:rsidR="00254B5E" w:rsidRPr="0044542A">
        <w:rPr>
          <w:rFonts w:ascii="Arial" w:hAnsi="Arial" w:cs="Arial"/>
          <w:sz w:val="20"/>
          <w:szCs w:val="20"/>
        </w:rPr>
        <w:t>Sửa đổi, bổ sung Khoản 5 Điều 18 Thông tư số 78/2014/TT-BTC (đã được sửa đổi, bổ sung tại Điều 5 Thông tư số 151/2014/TT-BTC) như sau:</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“5. Về dự án đầu tư mới:</w:t>
      </w:r>
    </w:p>
    <w:p w:rsidR="00D418D7" w:rsidRPr="0044542A" w:rsidRDefault="0044542A" w:rsidP="0044542A">
      <w:pPr>
        <w:pStyle w:val="Vnbnnidung0"/>
        <w:tabs>
          <w:tab w:val="left" w:pos="1117"/>
        </w:tabs>
        <w:spacing w:after="120"/>
        <w:ind w:firstLine="284"/>
        <w:rPr>
          <w:rFonts w:ascii="Arial" w:hAnsi="Arial" w:cs="Arial"/>
          <w:sz w:val="20"/>
          <w:szCs w:val="20"/>
        </w:rPr>
      </w:pPr>
      <w:bookmarkStart w:id="2" w:name="bookmark1"/>
      <w:bookmarkEnd w:id="2"/>
      <w:r>
        <w:rPr>
          <w:rFonts w:ascii="Arial" w:hAnsi="Arial" w:cs="Arial"/>
          <w:sz w:val="20"/>
          <w:szCs w:val="20"/>
          <w:lang w:val="en-US"/>
        </w:rPr>
        <w:t xml:space="preserve">a) </w:t>
      </w:r>
      <w:r w:rsidR="00254B5E" w:rsidRPr="0044542A">
        <w:rPr>
          <w:rFonts w:ascii="Arial" w:hAnsi="Arial" w:cs="Arial"/>
          <w:sz w:val="20"/>
          <w:szCs w:val="20"/>
        </w:rPr>
        <w:t xml:space="preserve">Dự án đầu tư mới được hưởng ưu </w:t>
      </w:r>
      <w:r w:rsidR="00254B5E" w:rsidRPr="0044542A">
        <w:rPr>
          <w:rFonts w:ascii="Arial" w:hAnsi="Arial" w:cs="Arial"/>
          <w:sz w:val="20"/>
          <w:szCs w:val="20"/>
        </w:rPr>
        <w:t>đãi thuế thu nhập doanh nghiệp quy định tại Điều 15, Điều 16 Nghị định số 218/2013/NĐ-CP là:</w:t>
      </w:r>
    </w:p>
    <w:p w:rsidR="00D418D7" w:rsidRDefault="0044542A" w:rsidP="0044542A">
      <w:pPr>
        <w:pStyle w:val="Vnbnnidung0"/>
        <w:tabs>
          <w:tab w:val="left" w:pos="1002"/>
        </w:tabs>
        <w:spacing w:after="120"/>
        <w:ind w:firstLine="284"/>
        <w:rPr>
          <w:rFonts w:ascii="Arial" w:hAnsi="Arial" w:cs="Arial"/>
          <w:sz w:val="20"/>
          <w:szCs w:val="20"/>
        </w:rPr>
      </w:pPr>
      <w:bookmarkStart w:id="3" w:name="bookmark2"/>
      <w:bookmarkEnd w:id="3"/>
      <w:r>
        <w:rPr>
          <w:rFonts w:ascii="Arial" w:hAnsi="Arial" w:cs="Arial"/>
          <w:sz w:val="20"/>
          <w:szCs w:val="20"/>
          <w:lang w:val="en-US"/>
        </w:rPr>
        <w:t xml:space="preserve">- </w:t>
      </w:r>
      <w:r w:rsidR="00254B5E" w:rsidRPr="0044542A">
        <w:rPr>
          <w:rFonts w:ascii="Arial" w:hAnsi="Arial" w:cs="Arial"/>
          <w:sz w:val="20"/>
          <w:szCs w:val="20"/>
        </w:rPr>
        <w:t xml:space="preserve">Dự án được cấp </w:t>
      </w:r>
      <w:r w:rsidR="00254B5E" w:rsidRPr="0044542A">
        <w:rPr>
          <w:rFonts w:ascii="Arial" w:hAnsi="Arial" w:cs="Arial"/>
          <w:b/>
          <w:bCs/>
          <w:sz w:val="20"/>
          <w:szCs w:val="20"/>
        </w:rPr>
        <w:t xml:space="preserve">Giấy chứng nhận đầu tư lần đầu từ ngày 01/01/2014 </w:t>
      </w:r>
      <w:r w:rsidR="00254B5E" w:rsidRPr="0044542A">
        <w:rPr>
          <w:rFonts w:ascii="Arial" w:hAnsi="Arial" w:cs="Arial"/>
          <w:sz w:val="20"/>
          <w:szCs w:val="20"/>
        </w:rPr>
        <w:t>và phát sinh doanh thu của dự án đó sau khi được cấp Giấy chứng nhận đầu tư.</w:t>
      </w:r>
    </w:p>
    <w:p w:rsidR="0044542A" w:rsidRPr="0044542A" w:rsidRDefault="0044542A" w:rsidP="0044542A">
      <w:pPr>
        <w:pStyle w:val="Vnbnnidung0"/>
        <w:tabs>
          <w:tab w:val="left" w:pos="1002"/>
        </w:tabs>
        <w:spacing w:after="120"/>
        <w:ind w:firstLine="284"/>
        <w:rPr>
          <w:rFonts w:ascii="Arial" w:hAnsi="Arial" w:cs="Arial"/>
          <w:sz w:val="20"/>
          <w:szCs w:val="20"/>
          <w:lang w:val="en-US"/>
        </w:rPr>
      </w:pPr>
      <w:r>
        <w:rPr>
          <w:rFonts w:ascii="Arial" w:hAnsi="Arial" w:cs="Arial"/>
          <w:sz w:val="20"/>
          <w:szCs w:val="20"/>
          <w:lang w:val="en-US"/>
        </w:rPr>
        <w:t>…</w:t>
      </w:r>
    </w:p>
    <w:p w:rsidR="00D418D7" w:rsidRDefault="0044542A" w:rsidP="0044542A">
      <w:pPr>
        <w:pStyle w:val="Vnbnnidung0"/>
        <w:tabs>
          <w:tab w:val="left" w:pos="1136"/>
        </w:tabs>
        <w:spacing w:after="120"/>
        <w:ind w:firstLine="284"/>
        <w:rPr>
          <w:rFonts w:ascii="Arial" w:hAnsi="Arial" w:cs="Arial"/>
          <w:sz w:val="20"/>
          <w:szCs w:val="20"/>
        </w:rPr>
      </w:pPr>
      <w:bookmarkStart w:id="4" w:name="bookmark3"/>
      <w:bookmarkEnd w:id="4"/>
      <w:r>
        <w:rPr>
          <w:rFonts w:ascii="Arial" w:hAnsi="Arial" w:cs="Arial"/>
          <w:sz w:val="20"/>
          <w:szCs w:val="20"/>
          <w:lang w:val="en-US"/>
        </w:rPr>
        <w:t xml:space="preserve">b) </w:t>
      </w:r>
      <w:r w:rsidR="00254B5E" w:rsidRPr="0044542A">
        <w:rPr>
          <w:rFonts w:ascii="Arial" w:hAnsi="Arial" w:cs="Arial"/>
          <w:sz w:val="20"/>
          <w:szCs w:val="20"/>
        </w:rPr>
        <w:t>Dự án đầu tư mới được</w:t>
      </w:r>
      <w:r w:rsidR="00254B5E" w:rsidRPr="0044542A">
        <w:rPr>
          <w:rFonts w:ascii="Arial" w:hAnsi="Arial" w:cs="Arial"/>
          <w:sz w:val="20"/>
          <w:szCs w:val="20"/>
        </w:rPr>
        <w:t xml:space="preserve"> hưởng ưu đãi thuế thu nhập doanh nghiệp theo diện đầu tư mới </w:t>
      </w:r>
      <w:r w:rsidR="00254B5E" w:rsidRPr="0044542A">
        <w:rPr>
          <w:rFonts w:ascii="Arial" w:hAnsi="Arial" w:cs="Arial"/>
          <w:b/>
          <w:bCs/>
          <w:sz w:val="20"/>
          <w:szCs w:val="20"/>
        </w:rPr>
        <w:t>không bao gồm các các trường hợp sau</w:t>
      </w:r>
      <w:r w:rsidR="00254B5E" w:rsidRPr="0044542A">
        <w:rPr>
          <w:rFonts w:ascii="Arial" w:hAnsi="Arial" w:cs="Arial"/>
          <w:sz w:val="20"/>
          <w:szCs w:val="20"/>
        </w:rPr>
        <w:t>:</w:t>
      </w:r>
    </w:p>
    <w:p w:rsidR="0044542A" w:rsidRPr="0044542A" w:rsidRDefault="0044542A" w:rsidP="0044542A">
      <w:pPr>
        <w:pStyle w:val="Vnbnnidung0"/>
        <w:tabs>
          <w:tab w:val="left" w:pos="1136"/>
        </w:tabs>
        <w:spacing w:after="120"/>
        <w:ind w:firstLine="284"/>
        <w:rPr>
          <w:rFonts w:ascii="Arial" w:hAnsi="Arial" w:cs="Arial"/>
          <w:sz w:val="20"/>
          <w:szCs w:val="20"/>
          <w:lang w:val="en-US"/>
        </w:rPr>
      </w:pPr>
      <w:r>
        <w:rPr>
          <w:rFonts w:ascii="Arial" w:hAnsi="Arial" w:cs="Arial"/>
          <w:sz w:val="20"/>
          <w:szCs w:val="20"/>
          <w:lang w:val="en-US"/>
        </w:rPr>
        <w:t>…</w:t>
      </w:r>
    </w:p>
    <w:p w:rsidR="00D418D7" w:rsidRPr="0044542A" w:rsidRDefault="0044542A" w:rsidP="0044542A">
      <w:pPr>
        <w:pStyle w:val="Vnbnnidung0"/>
        <w:tabs>
          <w:tab w:val="left" w:pos="1002"/>
        </w:tabs>
        <w:spacing w:after="120"/>
        <w:ind w:firstLine="284"/>
        <w:rPr>
          <w:rFonts w:ascii="Arial" w:hAnsi="Arial" w:cs="Arial"/>
          <w:sz w:val="20"/>
          <w:szCs w:val="20"/>
        </w:rPr>
      </w:pPr>
      <w:bookmarkStart w:id="5" w:name="bookmark4"/>
      <w:bookmarkEnd w:id="5"/>
      <w:r>
        <w:rPr>
          <w:rFonts w:ascii="Arial" w:hAnsi="Arial" w:cs="Arial"/>
          <w:sz w:val="20"/>
          <w:szCs w:val="20"/>
          <w:lang w:val="en-US"/>
        </w:rPr>
        <w:t xml:space="preserve">- </w:t>
      </w:r>
      <w:r w:rsidR="00254B5E" w:rsidRPr="0044542A">
        <w:rPr>
          <w:rFonts w:ascii="Arial" w:hAnsi="Arial" w:cs="Arial"/>
          <w:sz w:val="20"/>
          <w:szCs w:val="20"/>
        </w:rPr>
        <w:t>Dự án đầu tư hình thành từ việc chuyển đổi chủ sở hữu (bao gồm cả trường hợp thực hiện dự án đầu tư mới nhưng vẫn kế thừa tài sản, địa điểm kinh doanh, ngàn</w:t>
      </w:r>
      <w:r w:rsidR="00254B5E" w:rsidRPr="0044542A">
        <w:rPr>
          <w:rFonts w:ascii="Arial" w:hAnsi="Arial" w:cs="Arial"/>
          <w:sz w:val="20"/>
          <w:szCs w:val="20"/>
        </w:rPr>
        <w:t>h nghề kinh doanh của doanh nghiệp cũ để tiếp tục hoạt động sản xuất kinh doanh; mua lại dự án đầu tư đang hoạt động).</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Doanh nghiệp thành lập hoặc doanh nghiệp có dự án đầu tư từ việc chuyển đổi loại hình doanh nghiệp, chuyển đổi sở hữu, chia, tách, sáp nh</w:t>
      </w:r>
      <w:r w:rsidRPr="0044542A">
        <w:rPr>
          <w:rFonts w:ascii="Arial" w:hAnsi="Arial" w:cs="Arial"/>
          <w:sz w:val="20"/>
          <w:szCs w:val="20"/>
        </w:rPr>
        <w:t>ập, hợp nhất được kế thừa các ưu đãi về thuế thu nhập doanh nghiệp của doanh nghiệp hoặc dự án đầu tư trước khi chuyển đổi, chia, tách, sáp nhập, hợp nhất trong thời gian còn lại nếu tiếp tục đáp ứng các điều kiện ưu đãi thuế thu nhập doanh nghiệp...”</w:t>
      </w:r>
    </w:p>
    <w:p w:rsidR="00D418D7" w:rsidRPr="0044542A" w:rsidRDefault="0044542A" w:rsidP="0044542A">
      <w:pPr>
        <w:pStyle w:val="Vnbnnidung0"/>
        <w:tabs>
          <w:tab w:val="left" w:pos="1102"/>
        </w:tabs>
        <w:spacing w:after="120"/>
        <w:ind w:firstLine="284"/>
        <w:rPr>
          <w:rFonts w:ascii="Arial" w:hAnsi="Arial" w:cs="Arial"/>
          <w:sz w:val="20"/>
          <w:szCs w:val="20"/>
        </w:rPr>
      </w:pPr>
      <w:bookmarkStart w:id="6" w:name="bookmark5"/>
      <w:bookmarkEnd w:id="6"/>
      <w:r>
        <w:rPr>
          <w:rFonts w:ascii="Arial" w:hAnsi="Arial" w:cs="Arial"/>
          <w:sz w:val="20"/>
          <w:szCs w:val="20"/>
          <w:lang w:val="en-US"/>
        </w:rPr>
        <w:t xml:space="preserve">4. </w:t>
      </w:r>
      <w:r w:rsidR="00254B5E" w:rsidRPr="0044542A">
        <w:rPr>
          <w:rFonts w:ascii="Arial" w:hAnsi="Arial" w:cs="Arial"/>
          <w:sz w:val="20"/>
          <w:szCs w:val="20"/>
        </w:rPr>
        <w:t xml:space="preserve">Sửa </w:t>
      </w:r>
      <w:r w:rsidR="00254B5E" w:rsidRPr="0044542A">
        <w:rPr>
          <w:rFonts w:ascii="Arial" w:hAnsi="Arial" w:cs="Arial"/>
          <w:sz w:val="20"/>
          <w:szCs w:val="20"/>
        </w:rPr>
        <w:t>đổi, bổ sung Điểm a Khoản 6 Điều 18 Thông tư số 78/2014/TT-BTC (đã được sửa đổi, bổ sung tại Điều 5 Thông tư số 151/2014/TT-BTC) như sau:</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“6. về đầu tư mở rộng</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a) Doanh nghiệp có dự án đầu tư phát triển dự án đầu tư đang hoạt động như mở rộng quy mô sản xu</w:t>
      </w:r>
      <w:r w:rsidRPr="0044542A">
        <w:rPr>
          <w:rFonts w:ascii="Arial" w:hAnsi="Arial" w:cs="Arial"/>
          <w:sz w:val="20"/>
          <w:szCs w:val="20"/>
        </w:rPr>
        <w:t>ất, nâng cao công suất, đổi mới công nghệ sản xuất (gọi chung là dự án đầu tư mở rộng) thuộc lĩnh vực hoặc địa bàn ưu đãi thuế thu nhập doanh nghiệp theo quy định của Nghị định số 218/2013/NĐ-CP (bao gồm cả khu kinh tế, khu công nghệ cao, khu công nghiệp t</w:t>
      </w:r>
      <w:r w:rsidRPr="0044542A">
        <w:rPr>
          <w:rFonts w:ascii="Arial" w:hAnsi="Arial" w:cs="Arial"/>
          <w:sz w:val="20"/>
          <w:szCs w:val="20"/>
        </w:rPr>
        <w:t>rừ khu công nghiệp nằm trên địa bàn các quận nội thành của đô thị loại đặc biệt, đô thị loại I trực thuộc trung ương và Khu công nghiệp nằm trên địa bàn các đô thị loại I trực thuộc tỉnh) nếu đáp ứng một trong ba tiêu chí quy định tại điểm này thì được lựa</w:t>
      </w:r>
      <w:r w:rsidRPr="0044542A">
        <w:rPr>
          <w:rFonts w:ascii="Arial" w:hAnsi="Arial" w:cs="Arial"/>
          <w:sz w:val="20"/>
          <w:szCs w:val="20"/>
        </w:rPr>
        <w:t xml:space="preserve"> chọn hưởng ưu đãi thuế thu nhập doanh nghiệp theo dự án đang hoạt động cho thời gian còn lại (bao gồm mức thuế suất, thời gian miễn giảm nếu có) hoặc được áp dụng thời gian miễn thuế, giảm thuế đối với phần thu nhập tăng thêm do đầu tư mở rộng mang lại (k</w:t>
      </w:r>
      <w:r w:rsidRPr="0044542A">
        <w:rPr>
          <w:rFonts w:ascii="Arial" w:hAnsi="Arial" w:cs="Arial"/>
          <w:sz w:val="20"/>
          <w:szCs w:val="20"/>
        </w:rPr>
        <w:t>hông được hưởng mức thuế suất ưu đãi) bằng với thời gian miễn thuế, giảm thuế áp dụng đối với dự án đầu tư mới trên cùng địa bàn hoặc lĩnh vực ưu đãi thuế thu nhập doanh nghiệp. Trường hợp doanh nghiệp chọn hưởng ưu đãi thuế thu nhập doanh nghiệp theo dự á</w:t>
      </w:r>
      <w:r w:rsidRPr="0044542A">
        <w:rPr>
          <w:rFonts w:ascii="Arial" w:hAnsi="Arial" w:cs="Arial"/>
          <w:sz w:val="20"/>
          <w:szCs w:val="20"/>
        </w:rPr>
        <w:t>n đang hoạt động cho thời gian còn lại thì dự án đầu tư mở rộng đó phải thuộc lĩnh vực hoặc địa bàn ưu đãi thuế thu nhập doanh nghiệp theo quy định của Nghị định số 218/2013/NĐ-CP đồng thời cũng thuộc lĩnh vực hoặc địa bàn với dự án đang hoạt động.</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lastRenderedPageBreak/>
        <w:t>Dự án đ</w:t>
      </w:r>
      <w:r w:rsidRPr="0044542A">
        <w:rPr>
          <w:rFonts w:ascii="Arial" w:hAnsi="Arial" w:cs="Arial"/>
          <w:sz w:val="20"/>
          <w:szCs w:val="20"/>
        </w:rPr>
        <w:t>ầu tư mở rộng quy định tại điểm này phải đáp ứng một trong các tiêu chí sau:</w:t>
      </w:r>
    </w:p>
    <w:p w:rsidR="00D418D7" w:rsidRPr="0044542A" w:rsidRDefault="0044542A" w:rsidP="0044542A">
      <w:pPr>
        <w:pStyle w:val="Vnbnnidung0"/>
        <w:tabs>
          <w:tab w:val="left" w:pos="942"/>
        </w:tabs>
        <w:spacing w:after="120"/>
        <w:ind w:firstLine="284"/>
        <w:rPr>
          <w:rFonts w:ascii="Arial" w:hAnsi="Arial" w:cs="Arial"/>
          <w:sz w:val="20"/>
          <w:szCs w:val="20"/>
        </w:rPr>
      </w:pPr>
      <w:bookmarkStart w:id="7" w:name="bookmark6"/>
      <w:bookmarkEnd w:id="7"/>
      <w:r>
        <w:rPr>
          <w:rFonts w:ascii="Arial" w:hAnsi="Arial" w:cs="Arial"/>
          <w:sz w:val="20"/>
          <w:szCs w:val="20"/>
          <w:lang w:val="en-US"/>
        </w:rPr>
        <w:t xml:space="preserve">- </w:t>
      </w:r>
      <w:r w:rsidR="00254B5E" w:rsidRPr="0044542A">
        <w:rPr>
          <w:rFonts w:ascii="Arial" w:hAnsi="Arial" w:cs="Arial"/>
          <w:sz w:val="20"/>
          <w:szCs w:val="20"/>
        </w:rPr>
        <w:t>Nguyên giá tài sản cố định tăng thêm khi dự án đầu tư hoàn thành đi vào hoạt động đạt tối thiểu từ 20 tỷ đồng đối với dự án đầu tư mở rộng thuộc lĩnh vực hưởng ưu đãi thuế thu nhậ</w:t>
      </w:r>
      <w:r w:rsidR="00254B5E" w:rsidRPr="0044542A">
        <w:rPr>
          <w:rFonts w:ascii="Arial" w:hAnsi="Arial" w:cs="Arial"/>
          <w:sz w:val="20"/>
          <w:szCs w:val="20"/>
        </w:rPr>
        <w:t>p doanh nghiệp theo quy định của Nghị định số 218/2013/NĐ-CP hoặc từ 10 tỷ đồng đối với các dự án đầu tư mở rộng thực hiện tại các địa bàn có điều kiện kinh tế - xã hội khó khăn hoặc đặc biệt khó khăn theo quy định của Nghị định số 218/2013/NĐ-CP.</w:t>
      </w:r>
    </w:p>
    <w:p w:rsidR="00D418D7" w:rsidRPr="0044542A" w:rsidRDefault="0044542A" w:rsidP="0044542A">
      <w:pPr>
        <w:pStyle w:val="Vnbnnidung0"/>
        <w:tabs>
          <w:tab w:val="left" w:pos="942"/>
        </w:tabs>
        <w:spacing w:after="120"/>
        <w:ind w:firstLine="284"/>
        <w:rPr>
          <w:rFonts w:ascii="Arial" w:hAnsi="Arial" w:cs="Arial"/>
          <w:sz w:val="20"/>
          <w:szCs w:val="20"/>
        </w:rPr>
      </w:pPr>
      <w:bookmarkStart w:id="8" w:name="bookmark7"/>
      <w:bookmarkEnd w:id="8"/>
      <w:r>
        <w:rPr>
          <w:rFonts w:ascii="Arial" w:hAnsi="Arial" w:cs="Arial"/>
          <w:sz w:val="20"/>
          <w:szCs w:val="20"/>
          <w:lang w:val="en-US"/>
        </w:rPr>
        <w:t xml:space="preserve">- </w:t>
      </w:r>
      <w:r w:rsidR="00254B5E" w:rsidRPr="0044542A">
        <w:rPr>
          <w:rFonts w:ascii="Arial" w:hAnsi="Arial" w:cs="Arial"/>
          <w:sz w:val="20"/>
          <w:szCs w:val="20"/>
        </w:rPr>
        <w:t>Tỷ trọng</w:t>
      </w:r>
      <w:r w:rsidR="00254B5E" w:rsidRPr="0044542A">
        <w:rPr>
          <w:rFonts w:ascii="Arial" w:hAnsi="Arial" w:cs="Arial"/>
          <w:sz w:val="20"/>
          <w:szCs w:val="20"/>
        </w:rPr>
        <w:t xml:space="preserve"> nguyên giá tài sản cố định tăng thêm đạt tối thiểu từ 20% so với tổng nguyên giá tài sản cố định trước khi đầu tư.</w:t>
      </w:r>
    </w:p>
    <w:p w:rsidR="00D418D7" w:rsidRPr="0044542A" w:rsidRDefault="0044542A" w:rsidP="0044542A">
      <w:pPr>
        <w:pStyle w:val="Vnbnnidung0"/>
        <w:tabs>
          <w:tab w:val="left" w:pos="932"/>
        </w:tabs>
        <w:spacing w:after="120"/>
        <w:ind w:firstLine="284"/>
        <w:rPr>
          <w:rFonts w:ascii="Arial" w:hAnsi="Arial" w:cs="Arial"/>
          <w:sz w:val="20"/>
          <w:szCs w:val="20"/>
        </w:rPr>
      </w:pPr>
      <w:bookmarkStart w:id="9" w:name="bookmark8"/>
      <w:bookmarkEnd w:id="9"/>
      <w:r>
        <w:rPr>
          <w:rFonts w:ascii="Arial" w:hAnsi="Arial" w:cs="Arial"/>
          <w:sz w:val="20"/>
          <w:szCs w:val="20"/>
          <w:lang w:val="en-US"/>
        </w:rPr>
        <w:t xml:space="preserve">- </w:t>
      </w:r>
      <w:r w:rsidR="00254B5E" w:rsidRPr="0044542A">
        <w:rPr>
          <w:rFonts w:ascii="Arial" w:hAnsi="Arial" w:cs="Arial"/>
          <w:sz w:val="20"/>
          <w:szCs w:val="20"/>
        </w:rPr>
        <w:t>Công suất thiết kế khi đầu tư mở rộng tăng thêm tối thiểu từ 20% so với công suất thiết kế theo luận chứng kinh tế kĩ thuật trước khi đầu tư</w:t>
      </w:r>
      <w:r w:rsidR="00254B5E" w:rsidRPr="0044542A">
        <w:rPr>
          <w:rFonts w:ascii="Arial" w:hAnsi="Arial" w:cs="Arial"/>
          <w:sz w:val="20"/>
          <w:szCs w:val="20"/>
        </w:rPr>
        <w:t xml:space="preserve"> ban đầu.</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 xml:space="preserve">Trường hợp doanh nghiệp chọn hưởng ưu đãi theo diện đầu tư mở rộng thì phần thu nhập tăng thêm do đầu tư mở rộng được hạch toán riêng. Trường hợp doanh nghiệp không hạch toán riêng được phần thu nhập tăng thêm do đầu tư mở rộng mang lại thì thu </w:t>
      </w:r>
      <w:r w:rsidRPr="0044542A">
        <w:rPr>
          <w:rFonts w:ascii="Arial" w:hAnsi="Arial" w:cs="Arial"/>
          <w:sz w:val="20"/>
          <w:szCs w:val="20"/>
        </w:rPr>
        <w:t>nhập từ hoạt động đầu tư mở rộng xác định theo tỷ lệ giữa nguyên giá tài sản cố định đầu tư mới đưa vào sử dụng cho sản xuất, kinh doanh trên tổng nguyên giá tài sản cố định của doanh nghiệp...”</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Căn cứ Điều 18, Điều 22 Thông tư số 78/2014/TT-BTC ngày 18/6/</w:t>
      </w:r>
      <w:r w:rsidRPr="0044542A">
        <w:rPr>
          <w:rFonts w:ascii="Arial" w:hAnsi="Arial" w:cs="Arial"/>
          <w:sz w:val="20"/>
          <w:szCs w:val="20"/>
        </w:rPr>
        <w:t>2014 của Bộ Tài chính:</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w:t>
      </w:r>
      <w:r w:rsidRPr="0044542A">
        <w:rPr>
          <w:rFonts w:ascii="Arial" w:hAnsi="Arial" w:cs="Arial"/>
          <w:b/>
          <w:bCs/>
          <w:sz w:val="20"/>
          <w:szCs w:val="20"/>
        </w:rPr>
        <w:t>Điều 18. Điều kiện áp dụng ưu đãi thuế thu nhập doanh nghiệp</w:t>
      </w:r>
    </w:p>
    <w:p w:rsidR="00D418D7"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1. Các ưu đãi về thuế thu nhập doanh nghiệp chỉ áp dụng đối với doanh nghiệp thực hiện chế độ kế toán, hóa đơn, chứng từ và nộp thuế thu nhập doanh</w:t>
      </w:r>
      <w:r w:rsidR="0044542A">
        <w:rPr>
          <w:rFonts w:ascii="Arial" w:hAnsi="Arial" w:cs="Arial"/>
          <w:sz w:val="20"/>
          <w:szCs w:val="20"/>
          <w:lang w:val="en-US"/>
        </w:rPr>
        <w:t xml:space="preserve"> </w:t>
      </w:r>
      <w:r w:rsidRPr="0044542A">
        <w:rPr>
          <w:rFonts w:ascii="Arial" w:hAnsi="Arial" w:cs="Arial"/>
          <w:sz w:val="20"/>
          <w:szCs w:val="20"/>
        </w:rPr>
        <w:t>nghiệp theo kê khai.</w:t>
      </w:r>
    </w:p>
    <w:p w:rsidR="0044542A" w:rsidRPr="0044542A" w:rsidRDefault="0044542A" w:rsidP="0044542A">
      <w:pPr>
        <w:pStyle w:val="Vnbnnidung0"/>
        <w:spacing w:after="120"/>
        <w:ind w:firstLine="284"/>
        <w:rPr>
          <w:rFonts w:ascii="Arial" w:hAnsi="Arial" w:cs="Arial"/>
          <w:sz w:val="20"/>
          <w:szCs w:val="20"/>
          <w:lang w:val="en-US"/>
        </w:rPr>
      </w:pPr>
      <w:r>
        <w:rPr>
          <w:rFonts w:ascii="Arial" w:hAnsi="Arial" w:cs="Arial"/>
          <w:sz w:val="20"/>
          <w:szCs w:val="20"/>
          <w:lang w:val="en-US"/>
        </w:rPr>
        <w:t>…</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7.</w:t>
      </w:r>
      <w:r w:rsidRPr="0044542A">
        <w:rPr>
          <w:rFonts w:ascii="Arial" w:hAnsi="Arial" w:cs="Arial"/>
          <w:sz w:val="20"/>
          <w:szCs w:val="20"/>
        </w:rPr>
        <w:t xml:space="preserve"> Trong cùng một kỳ tính thuế nếu có một khoản thu nhập thuộc diện áp dụng thuế suất thuế thu nhập doanh nghiệp ưu đãi và thời gian miễn thuế, giảm thuế theo nhiều trường hợp khác nhau thì doanh nghiệp tự lựa chọn một trong những trường hợp ưu đãi thuế thu </w:t>
      </w:r>
      <w:r w:rsidRPr="0044542A">
        <w:rPr>
          <w:rFonts w:ascii="Arial" w:hAnsi="Arial" w:cs="Arial"/>
          <w:sz w:val="20"/>
          <w:szCs w:val="20"/>
        </w:rPr>
        <w:t>nhập doanh nghiệp có lợi nhất.</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b/>
          <w:bCs/>
          <w:sz w:val="20"/>
          <w:szCs w:val="20"/>
        </w:rPr>
        <w:t>Điều 22. Thủ tục thực hiện ưu đãi thuế thu nhập doanh nghiệp</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Doanh nghiệp tự xác định các điều kiện ưu đãi thuế, mức thuế suất ưu đãi, thời gian miễn thuế, giảm thuế, số lỗ được trừ (-) vào thu nhập tính thuế để tự kê khai và</w:t>
      </w:r>
      <w:r w:rsidRPr="0044542A">
        <w:rPr>
          <w:rFonts w:ascii="Arial" w:hAnsi="Arial" w:cs="Arial"/>
          <w:sz w:val="20"/>
          <w:szCs w:val="20"/>
        </w:rPr>
        <w:t xml:space="preserve"> tự quyết toán thuế với cơ quan thuế...”</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Căn cứ điểm c.2 khoản 3 Điều 17 Thông tư số, 80/2021/TT-BTC ngày 29/9/2021 của Bộ Tài chính hướng dẫn thi hành một số điều của Luật Quản lý thuế và Nghị định số</w:t>
      </w:r>
      <w:hyperlink r:id="rId7" w:history="1">
        <w:r w:rsidRPr="0044542A">
          <w:rPr>
            <w:rFonts w:ascii="Arial" w:hAnsi="Arial" w:cs="Arial"/>
            <w:sz w:val="20"/>
            <w:szCs w:val="20"/>
          </w:rPr>
          <w:t xml:space="preserve"> 126/2020/NĐ-CP </w:t>
        </w:r>
      </w:hyperlink>
      <w:r w:rsidRPr="0044542A">
        <w:rPr>
          <w:rFonts w:ascii="Arial" w:hAnsi="Arial" w:cs="Arial"/>
          <w:sz w:val="20"/>
          <w:szCs w:val="20"/>
        </w:rPr>
        <w:t>ngày 19 tháng 10 năm 2020 của Chính phủ.</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w:t>
      </w:r>
      <w:r w:rsidRPr="0044542A">
        <w:rPr>
          <w:rFonts w:ascii="Arial" w:hAnsi="Arial" w:cs="Arial"/>
          <w:b/>
          <w:bCs/>
          <w:sz w:val="20"/>
          <w:szCs w:val="20"/>
        </w:rPr>
        <w:t>Điều 17. Khai thuế, tính thuế, quyết toán thuế, phân bổ và nộp thuế thu nhập doanh nghiệp</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3. Khai thuế, quyết toán thuế, nộ</w:t>
      </w:r>
      <w:r w:rsidRPr="0044542A">
        <w:rPr>
          <w:rFonts w:ascii="Arial" w:hAnsi="Arial" w:cs="Arial"/>
          <w:sz w:val="20"/>
          <w:szCs w:val="20"/>
        </w:rPr>
        <w:t>p thuế:</w:t>
      </w:r>
    </w:p>
    <w:p w:rsidR="00D418D7"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c.2) Quyết toán thuế:</w:t>
      </w:r>
    </w:p>
    <w:p w:rsidR="0044542A" w:rsidRPr="0044542A" w:rsidRDefault="0044542A" w:rsidP="0044542A">
      <w:pPr>
        <w:pStyle w:val="Vnbnnidung0"/>
        <w:spacing w:after="120"/>
        <w:ind w:firstLine="284"/>
        <w:rPr>
          <w:rFonts w:ascii="Arial" w:hAnsi="Arial" w:cs="Arial"/>
          <w:sz w:val="20"/>
          <w:szCs w:val="20"/>
          <w:lang w:val="en-US"/>
        </w:rPr>
      </w:pPr>
      <w:r>
        <w:rPr>
          <w:rFonts w:ascii="Arial" w:hAnsi="Arial" w:cs="Arial"/>
          <w:sz w:val="20"/>
          <w:szCs w:val="20"/>
          <w:lang w:val="en-US"/>
        </w:rPr>
        <w:t>…</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Riêng hoạt động được hưởng ưu đãi thuế thu nhập doanh nghiệp thì người nộp thuế khai quyết toán thuế theo mẫu số 03/TNDN ban hành kèm theo phụ lục II Thông tư này tại cơ quan thuế quản lý trực tiếp, xác định số thuế thu nhập d</w:t>
      </w:r>
      <w:r w:rsidRPr="0044542A">
        <w:rPr>
          <w:rFonts w:ascii="Arial" w:hAnsi="Arial" w:cs="Arial"/>
          <w:sz w:val="20"/>
          <w:szCs w:val="20"/>
        </w:rPr>
        <w:t>oanh nghiệp phải nộp của hoạt động được hưởng ưu đãi thuế thu nhập doanh nghiệp theo mẫu số 03-3A/TNDN, 03-3B/TNDN, 03-3C/TNDN, 03-3D/TNDN ban hành kèm theo phụ lục II Thông tư này và nộp tại cơ quan thuế nơi có đơn vị được hưởng ưu đãi khác tỉnh và cơ qua</w:t>
      </w:r>
      <w:r w:rsidRPr="0044542A">
        <w:rPr>
          <w:rFonts w:ascii="Arial" w:hAnsi="Arial" w:cs="Arial"/>
          <w:sz w:val="20"/>
          <w:szCs w:val="20"/>
        </w:rPr>
        <w:t xml:space="preserve">n thuế quản lý trực </w:t>
      </w:r>
      <w:r w:rsidRPr="0044542A">
        <w:rPr>
          <w:rFonts w:ascii="Arial" w:hAnsi="Arial" w:cs="Arial"/>
          <w:i/>
          <w:iCs/>
          <w:sz w:val="20"/>
          <w:szCs w:val="20"/>
        </w:rPr>
        <w:t>tiếp...”</w:t>
      </w:r>
    </w:p>
    <w:p w:rsidR="00D418D7"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Căn cứ các quy định nêu trên, đề nghị Công ty đối chiếu với tình hình thực tế tại đơn vị để lựa chọn trường hợp ưu đãi thuế thu nhập doanh nghiệp có lợi nhất, tự kê khai và tự quyết toán thuế với cơ quan thuế.</w:t>
      </w:r>
    </w:p>
    <w:p w:rsidR="0044542A" w:rsidRPr="0044542A" w:rsidRDefault="00254B5E" w:rsidP="0044542A">
      <w:pPr>
        <w:pStyle w:val="Vnbnnidung0"/>
        <w:spacing w:after="120"/>
        <w:ind w:firstLine="284"/>
        <w:rPr>
          <w:rFonts w:ascii="Arial" w:hAnsi="Arial" w:cs="Arial"/>
          <w:sz w:val="20"/>
          <w:szCs w:val="20"/>
        </w:rPr>
      </w:pPr>
      <w:r w:rsidRPr="0044542A">
        <w:rPr>
          <w:rFonts w:ascii="Arial" w:hAnsi="Arial" w:cs="Arial"/>
          <w:sz w:val="20"/>
          <w:szCs w:val="20"/>
        </w:rPr>
        <w:t>Cục Thuế tỉnh Hậu</w:t>
      </w:r>
      <w:r w:rsidRPr="0044542A">
        <w:rPr>
          <w:rFonts w:ascii="Arial" w:hAnsi="Arial" w:cs="Arial"/>
          <w:sz w:val="20"/>
          <w:szCs w:val="20"/>
        </w:rPr>
        <w:t xml:space="preserve"> Giang trả lời để Công ty Cổ phần Việt Nam Kỹ nghệ Bột mì biết, thực hiện./.</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44542A" w:rsidRPr="001443C0" w:rsidTr="00EE1790">
        <w:trPr>
          <w:trHeight w:val="2005"/>
        </w:trPr>
        <w:tc>
          <w:tcPr>
            <w:tcW w:w="5843" w:type="dxa"/>
            <w:shd w:val="clear" w:color="auto" w:fill="auto"/>
            <w:hideMark/>
          </w:tcPr>
          <w:p w:rsidR="0044542A" w:rsidRPr="00BA1E8C" w:rsidRDefault="0044542A" w:rsidP="00EE1790">
            <w:pPr>
              <w:pStyle w:val="Vnbnnidung0"/>
              <w:ind w:firstLine="0"/>
              <w:rPr>
                <w:rFonts w:ascii="Arial" w:hAnsi="Arial" w:cs="Arial"/>
                <w:b/>
                <w:sz w:val="20"/>
                <w:szCs w:val="20"/>
              </w:rPr>
            </w:pPr>
            <w:r>
              <w:rPr>
                <w:rFonts w:ascii="Arial" w:hAnsi="Arial" w:cs="Arial"/>
                <w:b/>
                <w:sz w:val="20"/>
                <w:szCs w:val="20"/>
              </w:rPr>
              <w:lastRenderedPageBreak/>
              <w:t>Nơi nhận</w:t>
            </w:r>
          </w:p>
          <w:p w:rsidR="0044542A" w:rsidRPr="0044542A" w:rsidRDefault="0044542A" w:rsidP="0044542A">
            <w:pPr>
              <w:pStyle w:val="Vnbnnidung20"/>
              <w:tabs>
                <w:tab w:val="left" w:pos="258"/>
              </w:tabs>
              <w:rPr>
                <w:rFonts w:ascii="Arial" w:hAnsi="Arial" w:cs="Arial"/>
                <w:sz w:val="20"/>
                <w:szCs w:val="20"/>
              </w:rPr>
            </w:pPr>
            <w:r>
              <w:rPr>
                <w:rFonts w:ascii="Arial" w:hAnsi="Arial" w:cs="Arial"/>
                <w:lang w:val="en-US"/>
              </w:rPr>
              <w:t xml:space="preserve">- </w:t>
            </w:r>
            <w:r w:rsidRPr="0044542A">
              <w:rPr>
                <w:rFonts w:ascii="Arial" w:hAnsi="Arial" w:cs="Arial"/>
                <w:sz w:val="20"/>
                <w:szCs w:val="20"/>
              </w:rPr>
              <w:t>Như trên;</w:t>
            </w:r>
          </w:p>
          <w:p w:rsidR="0044542A" w:rsidRPr="0044542A" w:rsidRDefault="0044542A" w:rsidP="0044542A">
            <w:pPr>
              <w:pStyle w:val="Vnbnnidung20"/>
              <w:tabs>
                <w:tab w:val="left" w:pos="258"/>
              </w:tabs>
              <w:rPr>
                <w:rFonts w:ascii="Arial" w:hAnsi="Arial" w:cs="Arial"/>
                <w:sz w:val="20"/>
                <w:szCs w:val="20"/>
              </w:rPr>
            </w:pPr>
            <w:bookmarkStart w:id="10" w:name="bookmark10"/>
            <w:bookmarkEnd w:id="10"/>
            <w:r>
              <w:rPr>
                <w:rFonts w:ascii="Arial" w:hAnsi="Arial" w:cs="Arial"/>
                <w:sz w:val="20"/>
                <w:szCs w:val="20"/>
                <w:lang w:val="en-US"/>
              </w:rPr>
              <w:t xml:space="preserve">- </w:t>
            </w:r>
            <w:r w:rsidRPr="0044542A">
              <w:rPr>
                <w:rFonts w:ascii="Arial" w:hAnsi="Arial" w:cs="Arial"/>
                <w:sz w:val="20"/>
                <w:szCs w:val="20"/>
              </w:rPr>
              <w:t>Lãnh đạo Cục Thuế;</w:t>
            </w:r>
          </w:p>
          <w:p w:rsidR="0044542A" w:rsidRPr="0044542A" w:rsidRDefault="0044542A" w:rsidP="0044542A">
            <w:pPr>
              <w:pStyle w:val="Vnbnnidung20"/>
              <w:tabs>
                <w:tab w:val="left" w:pos="258"/>
              </w:tabs>
              <w:rPr>
                <w:rFonts w:ascii="Arial" w:hAnsi="Arial" w:cs="Arial"/>
                <w:sz w:val="20"/>
                <w:szCs w:val="20"/>
              </w:rPr>
            </w:pPr>
            <w:bookmarkStart w:id="11" w:name="bookmark11"/>
            <w:bookmarkEnd w:id="11"/>
            <w:r>
              <w:rPr>
                <w:rFonts w:ascii="Arial" w:hAnsi="Arial" w:cs="Arial"/>
                <w:sz w:val="20"/>
                <w:szCs w:val="20"/>
                <w:lang w:val="en-US"/>
              </w:rPr>
              <w:t xml:space="preserve">- </w:t>
            </w:r>
            <w:r w:rsidRPr="0044542A">
              <w:rPr>
                <w:rFonts w:ascii="Arial" w:hAnsi="Arial" w:cs="Arial"/>
                <w:sz w:val="20"/>
                <w:szCs w:val="20"/>
              </w:rPr>
              <w:t>Phòng NVDTPC;</w:t>
            </w:r>
          </w:p>
          <w:p w:rsidR="0044542A" w:rsidRPr="0044542A" w:rsidRDefault="0044542A" w:rsidP="0044542A">
            <w:pPr>
              <w:pStyle w:val="Vnbnnidung20"/>
              <w:tabs>
                <w:tab w:val="left" w:pos="258"/>
              </w:tabs>
              <w:rPr>
                <w:rFonts w:ascii="Arial" w:hAnsi="Arial" w:cs="Arial"/>
                <w:sz w:val="20"/>
                <w:szCs w:val="20"/>
              </w:rPr>
            </w:pPr>
            <w:bookmarkStart w:id="12" w:name="bookmark12"/>
            <w:bookmarkEnd w:id="12"/>
            <w:r>
              <w:rPr>
                <w:rFonts w:ascii="Arial" w:hAnsi="Arial" w:cs="Arial"/>
                <w:sz w:val="20"/>
                <w:szCs w:val="20"/>
                <w:lang w:val="en-US"/>
              </w:rPr>
              <w:t xml:space="preserve">- </w:t>
            </w:r>
            <w:r w:rsidRPr="0044542A">
              <w:rPr>
                <w:rFonts w:ascii="Arial" w:hAnsi="Arial" w:cs="Arial"/>
                <w:sz w:val="20"/>
                <w:szCs w:val="20"/>
              </w:rPr>
              <w:t>Phòng KK&amp;KTT;</w:t>
            </w:r>
          </w:p>
          <w:p w:rsidR="0044542A" w:rsidRPr="0044542A" w:rsidRDefault="0044542A" w:rsidP="0044542A">
            <w:pPr>
              <w:pStyle w:val="Vnbnnidung20"/>
              <w:tabs>
                <w:tab w:val="left" w:pos="258"/>
              </w:tabs>
              <w:rPr>
                <w:rFonts w:ascii="Arial" w:hAnsi="Arial" w:cs="Arial"/>
                <w:sz w:val="20"/>
                <w:szCs w:val="20"/>
              </w:rPr>
            </w:pPr>
            <w:bookmarkStart w:id="13" w:name="bookmark13"/>
            <w:bookmarkEnd w:id="13"/>
            <w:r>
              <w:rPr>
                <w:rFonts w:ascii="Arial" w:hAnsi="Arial" w:cs="Arial"/>
                <w:sz w:val="20"/>
                <w:szCs w:val="20"/>
                <w:lang w:val="en-US"/>
              </w:rPr>
              <w:t xml:space="preserve">- </w:t>
            </w:r>
            <w:r w:rsidRPr="0044542A">
              <w:rPr>
                <w:rFonts w:ascii="Arial" w:hAnsi="Arial" w:cs="Arial"/>
                <w:sz w:val="20"/>
                <w:szCs w:val="20"/>
              </w:rPr>
              <w:t>Phòng TTKT1;</w:t>
            </w:r>
          </w:p>
          <w:p w:rsidR="0044542A" w:rsidRPr="0044542A" w:rsidRDefault="0044542A" w:rsidP="0044542A">
            <w:pPr>
              <w:pStyle w:val="Vnbnnidung20"/>
              <w:tabs>
                <w:tab w:val="left" w:pos="258"/>
              </w:tabs>
              <w:rPr>
                <w:rFonts w:ascii="Arial" w:hAnsi="Arial" w:cs="Arial"/>
                <w:sz w:val="20"/>
                <w:szCs w:val="20"/>
              </w:rPr>
            </w:pPr>
            <w:bookmarkStart w:id="14" w:name="bookmark14"/>
            <w:bookmarkEnd w:id="14"/>
            <w:r>
              <w:rPr>
                <w:rFonts w:ascii="Arial" w:hAnsi="Arial" w:cs="Arial"/>
                <w:sz w:val="20"/>
                <w:szCs w:val="20"/>
                <w:lang w:val="en-US"/>
              </w:rPr>
              <w:t xml:space="preserve">- </w:t>
            </w:r>
            <w:r w:rsidRPr="0044542A">
              <w:rPr>
                <w:rFonts w:ascii="Arial" w:hAnsi="Arial" w:cs="Arial"/>
                <w:sz w:val="20"/>
                <w:szCs w:val="20"/>
              </w:rPr>
              <w:t>Phòng TTKT2;</w:t>
            </w:r>
          </w:p>
          <w:p w:rsidR="0044542A" w:rsidRPr="0044542A" w:rsidRDefault="0044542A" w:rsidP="0044542A">
            <w:pPr>
              <w:pStyle w:val="Vnbnnidung20"/>
              <w:tabs>
                <w:tab w:val="left" w:pos="258"/>
              </w:tabs>
              <w:jc w:val="both"/>
              <w:rPr>
                <w:rFonts w:ascii="Arial" w:hAnsi="Arial" w:cs="Arial"/>
                <w:sz w:val="20"/>
                <w:szCs w:val="20"/>
              </w:rPr>
            </w:pPr>
            <w:bookmarkStart w:id="15" w:name="bookmark15"/>
            <w:bookmarkEnd w:id="15"/>
            <w:r>
              <w:rPr>
                <w:rFonts w:ascii="Arial" w:hAnsi="Arial" w:cs="Arial"/>
                <w:sz w:val="20"/>
                <w:szCs w:val="20"/>
                <w:lang w:val="en-US"/>
              </w:rPr>
              <w:t xml:space="preserve">- </w:t>
            </w:r>
            <w:r w:rsidRPr="0044542A">
              <w:rPr>
                <w:rFonts w:ascii="Arial" w:hAnsi="Arial" w:cs="Arial"/>
                <w:sz w:val="20"/>
                <w:szCs w:val="20"/>
              </w:rPr>
              <w:t>Phòng KTNB;</w:t>
            </w:r>
          </w:p>
          <w:p w:rsidR="0044542A" w:rsidRPr="0044542A" w:rsidRDefault="0044542A" w:rsidP="0044542A">
            <w:pPr>
              <w:pStyle w:val="Vnbnnidung20"/>
              <w:tabs>
                <w:tab w:val="left" w:pos="258"/>
              </w:tabs>
              <w:rPr>
                <w:rFonts w:ascii="Arial" w:hAnsi="Arial" w:cs="Arial"/>
                <w:sz w:val="20"/>
                <w:szCs w:val="20"/>
              </w:rPr>
            </w:pPr>
            <w:bookmarkStart w:id="16" w:name="bookmark16"/>
            <w:bookmarkEnd w:id="16"/>
            <w:r>
              <w:rPr>
                <w:rFonts w:ascii="Arial" w:hAnsi="Arial" w:cs="Arial"/>
                <w:sz w:val="20"/>
                <w:szCs w:val="20"/>
                <w:lang w:val="en-US"/>
              </w:rPr>
              <w:t xml:space="preserve">- </w:t>
            </w:r>
            <w:r w:rsidRPr="0044542A">
              <w:rPr>
                <w:rFonts w:ascii="Arial" w:hAnsi="Arial" w:cs="Arial"/>
                <w:sz w:val="20"/>
                <w:szCs w:val="20"/>
              </w:rPr>
              <w:t>Website Cục Thuế;</w:t>
            </w:r>
          </w:p>
          <w:p w:rsidR="0044542A" w:rsidRPr="0044542A" w:rsidRDefault="0044542A" w:rsidP="0044542A">
            <w:pPr>
              <w:pStyle w:val="Vnbnnidung20"/>
              <w:tabs>
                <w:tab w:val="left" w:pos="258"/>
              </w:tabs>
              <w:spacing w:after="60" w:line="230" w:lineRule="auto"/>
              <w:jc w:val="both"/>
              <w:rPr>
                <w:rFonts w:ascii="Arial" w:hAnsi="Arial" w:cs="Arial"/>
                <w:sz w:val="20"/>
                <w:szCs w:val="20"/>
              </w:rPr>
            </w:pPr>
            <w:bookmarkStart w:id="17" w:name="bookmark17"/>
            <w:bookmarkEnd w:id="17"/>
            <w:r>
              <w:rPr>
                <w:rFonts w:ascii="Arial" w:hAnsi="Arial" w:cs="Arial"/>
                <w:sz w:val="20"/>
                <w:szCs w:val="20"/>
                <w:lang w:val="en-US"/>
              </w:rPr>
              <w:t xml:space="preserve">- </w:t>
            </w:r>
            <w:r w:rsidRPr="0044542A">
              <w:rPr>
                <w:rFonts w:ascii="Arial" w:hAnsi="Arial" w:cs="Arial"/>
                <w:sz w:val="20"/>
                <w:szCs w:val="20"/>
              </w:rPr>
              <w:t>Lưu: VT, TTHT.</w:t>
            </w:r>
          </w:p>
          <w:p w:rsidR="0044542A" w:rsidRPr="00816A5B" w:rsidRDefault="0044542A" w:rsidP="00EE1790">
            <w:pPr>
              <w:pStyle w:val="Vnbnnidung20"/>
              <w:tabs>
                <w:tab w:val="left" w:pos="125"/>
              </w:tabs>
              <w:rPr>
                <w:rFonts w:ascii="Arial" w:hAnsi="Arial" w:cs="Arial"/>
              </w:rPr>
            </w:pPr>
          </w:p>
        </w:tc>
        <w:tc>
          <w:tcPr>
            <w:tcW w:w="4140" w:type="dxa"/>
            <w:shd w:val="clear" w:color="auto" w:fill="auto"/>
          </w:tcPr>
          <w:p w:rsidR="0044542A" w:rsidRPr="00B84603" w:rsidRDefault="0044542A" w:rsidP="00EE1790">
            <w:pPr>
              <w:pStyle w:val="Vnbnnidung0"/>
              <w:tabs>
                <w:tab w:val="left" w:pos="4030"/>
                <w:tab w:val="left" w:leader="dot" w:pos="4198"/>
              </w:tabs>
              <w:ind w:firstLine="0"/>
              <w:jc w:val="center"/>
              <w:rPr>
                <w:rFonts w:ascii="Arial" w:hAnsi="Arial" w:cs="Arial"/>
                <w:b/>
                <w:sz w:val="20"/>
                <w:szCs w:val="20"/>
              </w:rPr>
            </w:pPr>
            <w:r w:rsidRPr="00B84603">
              <w:rPr>
                <w:rFonts w:ascii="Arial" w:hAnsi="Arial" w:cs="Arial"/>
                <w:b/>
                <w:sz w:val="20"/>
                <w:szCs w:val="20"/>
                <w:lang w:val="en-US"/>
              </w:rPr>
              <w:t xml:space="preserve">KT. </w:t>
            </w:r>
            <w:r w:rsidRPr="00B84603">
              <w:rPr>
                <w:rFonts w:ascii="Arial" w:hAnsi="Arial" w:cs="Arial"/>
                <w:b/>
                <w:sz w:val="20"/>
                <w:szCs w:val="20"/>
              </w:rPr>
              <w:t>CỤC TRƯỞNG</w:t>
            </w:r>
          </w:p>
          <w:p w:rsidR="0044542A" w:rsidRPr="00B84603" w:rsidRDefault="0044542A" w:rsidP="00EE1790">
            <w:pPr>
              <w:pStyle w:val="Vnbnnidung0"/>
              <w:tabs>
                <w:tab w:val="left" w:pos="4030"/>
                <w:tab w:val="left" w:leader="dot" w:pos="4198"/>
              </w:tabs>
              <w:ind w:firstLine="0"/>
              <w:jc w:val="center"/>
              <w:rPr>
                <w:rFonts w:ascii="Arial" w:hAnsi="Arial" w:cs="Arial"/>
                <w:b/>
                <w:sz w:val="20"/>
                <w:szCs w:val="20"/>
                <w:lang w:val="en-US"/>
              </w:rPr>
            </w:pPr>
            <w:r w:rsidRPr="00B84603">
              <w:rPr>
                <w:rFonts w:ascii="Arial" w:hAnsi="Arial" w:cs="Arial"/>
                <w:b/>
                <w:sz w:val="20"/>
                <w:szCs w:val="20"/>
                <w:lang w:val="en-US"/>
              </w:rPr>
              <w:t>PHÓ CỤC TRƯỞNG</w:t>
            </w:r>
          </w:p>
          <w:p w:rsidR="0044542A" w:rsidRPr="00B84603" w:rsidRDefault="0044542A" w:rsidP="00EE1790">
            <w:pPr>
              <w:pStyle w:val="Vnbnnidung0"/>
              <w:tabs>
                <w:tab w:val="left" w:pos="4030"/>
                <w:tab w:val="left" w:leader="dot" w:pos="4198"/>
              </w:tabs>
              <w:ind w:firstLine="0"/>
              <w:jc w:val="center"/>
              <w:rPr>
                <w:rFonts w:ascii="Arial" w:hAnsi="Arial" w:cs="Arial"/>
                <w:b/>
                <w:sz w:val="20"/>
                <w:szCs w:val="20"/>
                <w:lang w:val="en-US"/>
              </w:rPr>
            </w:pPr>
          </w:p>
          <w:p w:rsidR="0044542A" w:rsidRPr="00B84603" w:rsidRDefault="0044542A" w:rsidP="00EE1790">
            <w:pPr>
              <w:pStyle w:val="Vnbnnidung0"/>
              <w:tabs>
                <w:tab w:val="left" w:pos="4030"/>
                <w:tab w:val="left" w:leader="dot" w:pos="4198"/>
              </w:tabs>
              <w:ind w:firstLine="0"/>
              <w:jc w:val="center"/>
              <w:rPr>
                <w:rFonts w:ascii="Arial" w:hAnsi="Arial" w:cs="Arial"/>
                <w:b/>
                <w:sz w:val="20"/>
                <w:szCs w:val="20"/>
                <w:lang w:val="en-US"/>
              </w:rPr>
            </w:pPr>
          </w:p>
          <w:p w:rsidR="0044542A" w:rsidRPr="00B84603" w:rsidRDefault="0044542A" w:rsidP="00EE1790">
            <w:pPr>
              <w:pStyle w:val="Vnbnnidung0"/>
              <w:tabs>
                <w:tab w:val="left" w:pos="4030"/>
                <w:tab w:val="left" w:leader="dot" w:pos="4198"/>
              </w:tabs>
              <w:ind w:firstLine="0"/>
              <w:jc w:val="center"/>
              <w:rPr>
                <w:rFonts w:ascii="Arial" w:hAnsi="Arial" w:cs="Arial"/>
                <w:b/>
                <w:sz w:val="20"/>
                <w:szCs w:val="20"/>
                <w:lang w:val="en-US"/>
              </w:rPr>
            </w:pPr>
          </w:p>
          <w:p w:rsidR="0044542A" w:rsidRPr="00B84603" w:rsidRDefault="0044542A" w:rsidP="00EE1790">
            <w:pPr>
              <w:pStyle w:val="Vnbnnidung0"/>
              <w:tabs>
                <w:tab w:val="left" w:pos="4030"/>
                <w:tab w:val="left" w:leader="dot" w:pos="4198"/>
              </w:tabs>
              <w:ind w:firstLine="0"/>
              <w:jc w:val="center"/>
              <w:rPr>
                <w:rFonts w:ascii="Arial" w:hAnsi="Arial" w:cs="Arial"/>
                <w:b/>
                <w:sz w:val="20"/>
                <w:szCs w:val="20"/>
                <w:lang w:val="en-US"/>
              </w:rPr>
            </w:pPr>
            <w:r>
              <w:rPr>
                <w:rFonts w:ascii="Arial" w:hAnsi="Arial" w:cs="Arial"/>
                <w:b/>
                <w:sz w:val="20"/>
                <w:szCs w:val="20"/>
                <w:lang w:val="en-US"/>
              </w:rPr>
              <w:t>Nguyễn Thanh Tâm</w:t>
            </w:r>
          </w:p>
        </w:tc>
      </w:tr>
    </w:tbl>
    <w:p w:rsidR="0044542A" w:rsidRPr="0044542A" w:rsidRDefault="0044542A" w:rsidP="0044542A">
      <w:pPr>
        <w:pStyle w:val="Vnbnnidung0"/>
        <w:jc w:val="both"/>
        <w:rPr>
          <w:rFonts w:ascii="Arial" w:hAnsi="Arial" w:cs="Arial"/>
          <w:sz w:val="20"/>
          <w:szCs w:val="20"/>
        </w:rPr>
      </w:pPr>
    </w:p>
    <w:sectPr w:rsidR="0044542A" w:rsidRPr="0044542A">
      <w:headerReference w:type="default" r:id="rId8"/>
      <w:headerReference w:type="first" r:id="rId9"/>
      <w:pgSz w:w="11900" w:h="16840"/>
      <w:pgMar w:top="1105" w:right="1084" w:bottom="1215" w:left="1623"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5E" w:rsidRDefault="00254B5E">
      <w:r>
        <w:separator/>
      </w:r>
    </w:p>
  </w:endnote>
  <w:endnote w:type="continuationSeparator" w:id="0">
    <w:p w:rsidR="00254B5E" w:rsidRDefault="0025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5E" w:rsidRDefault="00254B5E"/>
  </w:footnote>
  <w:footnote w:type="continuationSeparator" w:id="0">
    <w:p w:rsidR="00254B5E" w:rsidRDefault="00254B5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D7" w:rsidRDefault="00254B5E">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3908425</wp:posOffset>
              </wp:positionH>
              <wp:positionV relativeFrom="page">
                <wp:posOffset>500380</wp:posOffset>
              </wp:positionV>
              <wp:extent cx="76200" cy="121920"/>
              <wp:effectExtent l="0" t="0" r="0" b="0"/>
              <wp:wrapNone/>
              <wp:docPr id="9" name="Shape 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418D7" w:rsidRDefault="00254B5E">
                          <w:pPr>
                            <w:pStyle w:val="utranghocchntrang20"/>
                            <w:rPr>
                              <w:sz w:val="28"/>
                              <w:szCs w:val="28"/>
                            </w:rPr>
                          </w:pPr>
                          <w:r>
                            <w:fldChar w:fldCharType="begin"/>
                          </w:r>
                          <w:r>
                            <w:instrText xml:space="preserve"> PAGE \* MERGEFORMAT </w:instrText>
                          </w:r>
                          <w:r>
                            <w:fldChar w:fldCharType="separate"/>
                          </w:r>
                          <w:r w:rsidR="0044542A" w:rsidRPr="0044542A">
                            <w:rPr>
                              <w:noProof/>
                              <w:sz w:val="28"/>
                              <w:szCs w:val="28"/>
                            </w:rPr>
                            <w:t>3</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07.75pt;margin-top:39.4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" filled="f" stroked="f">
              <v:textbox style="mso-fit-shape-to-text:t" inset="0,0,0,0">
                <w:txbxContent>
                  <w:p w:rsidR="00D418D7" w:rsidRDefault="00254B5E">
                    <w:pPr>
                      <w:pStyle w:val="utranghocchntrang20"/>
                      <w:rPr>
                        <w:sz w:val="28"/>
                        <w:szCs w:val="28"/>
                      </w:rPr>
                    </w:pPr>
                    <w:r>
                      <w:fldChar w:fldCharType="begin"/>
                    </w:r>
                    <w:r>
                      <w:instrText xml:space="preserve"> PAGE \* MERGEFORMAT </w:instrText>
                    </w:r>
                    <w:r>
                      <w:fldChar w:fldCharType="separate"/>
                    </w:r>
                    <w:r w:rsidR="0044542A" w:rsidRPr="0044542A">
                      <w:rPr>
                        <w:noProof/>
                        <w:sz w:val="28"/>
                        <w:szCs w:val="28"/>
                      </w:rPr>
                      <w:t>3</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D7" w:rsidRDefault="00D418D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C3E08"/>
    <w:multiLevelType w:val="multilevel"/>
    <w:tmpl w:val="F2203F3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A223BE"/>
    <w:multiLevelType w:val="multilevel"/>
    <w:tmpl w:val="CF880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825E54"/>
    <w:multiLevelType w:val="multilevel"/>
    <w:tmpl w:val="FFE0C1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D7"/>
    <w:rsid w:val="00254B5E"/>
    <w:rsid w:val="0044542A"/>
    <w:rsid w:val="00D4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6CFA"/>
  <w15:docId w15:val="{C8B9E271-FEA7-4D38-883E-DC8F3E52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after="60"/>
      <w:ind w:firstLine="400"/>
    </w:pPr>
    <w:rPr>
      <w:rFonts w:ascii="Times New Roman" w:eastAsia="Times New Roman" w:hAnsi="Times New Roman" w:cs="Times New Roman"/>
      <w:sz w:val="28"/>
      <w:szCs w:val="28"/>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table" w:styleId="TableGrid">
    <w:name w:val="Table Grid"/>
    <w:basedOn w:val="TableNormal"/>
    <w:uiPriority w:val="39"/>
    <w:rsid w:val="004454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Thue-Phi-Le-Phi/Nghi-dinh-126-2020-ND-CP-huong-dan-Luat-Quan-ly-thue-45573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THUẾ</dc:title>
  <dc:subject/>
  <dc:creator>Tong Cuc Thue</dc:creator>
  <cp:keywords/>
  <cp:lastModifiedBy>Admin</cp:lastModifiedBy>
  <cp:revision>2</cp:revision>
  <dcterms:created xsi:type="dcterms:W3CDTF">2025-01-08T02:31:00Z</dcterms:created>
  <dcterms:modified xsi:type="dcterms:W3CDTF">2025-01-08T02:35:00Z</dcterms:modified>
</cp:coreProperties>
</file>